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8A" w:rsidRDefault="00F94B8A" w:rsidP="00F94B8A">
      <w:pPr>
        <w:jc w:val="both"/>
        <w:rPr>
          <w:b/>
        </w:rPr>
      </w:pPr>
      <w:r w:rsidRPr="00BF1F4D">
        <w:rPr>
          <w:b/>
        </w:rPr>
        <w:t>DISCIPLINA</w:t>
      </w:r>
      <w:r>
        <w:rPr>
          <w:b/>
        </w:rPr>
        <w:t xml:space="preserve"> </w:t>
      </w:r>
      <w:r w:rsidRPr="00BF1F4D">
        <w:rPr>
          <w:b/>
        </w:rPr>
        <w:t>OBRIGATÓRIA</w:t>
      </w:r>
    </w:p>
    <w:p w:rsidR="00F94B8A" w:rsidRPr="00BF1F4D" w:rsidRDefault="00F94B8A" w:rsidP="00F94B8A">
      <w:pPr>
        <w:jc w:val="both"/>
        <w:rPr>
          <w:b/>
        </w:rPr>
      </w:pPr>
    </w:p>
    <w:p w:rsidR="00F94B8A" w:rsidRPr="001A46B6" w:rsidRDefault="00F94B8A" w:rsidP="00F94B8A">
      <w:pPr>
        <w:pStyle w:val="Ttulo4"/>
        <w:jc w:val="both"/>
      </w:pPr>
      <w:bookmarkStart w:id="0" w:name="_Toc302228225"/>
      <w:bookmarkStart w:id="1" w:name="_Toc302228434"/>
      <w:bookmarkStart w:id="2" w:name="_Toc302228643"/>
      <w:bookmarkStart w:id="3" w:name="_Toc340623368"/>
      <w:bookmarkStart w:id="4" w:name="_GoBack"/>
      <w:r w:rsidRPr="001A46B6">
        <w:t>TEORIA</w:t>
      </w:r>
      <w:r>
        <w:t xml:space="preserve"> </w:t>
      </w:r>
      <w:r w:rsidRPr="001A46B6">
        <w:t>POLÍTICA</w:t>
      </w:r>
      <w:r>
        <w:t xml:space="preserve"> </w:t>
      </w:r>
      <w:r w:rsidRPr="001A46B6">
        <w:t>CONTEMPORÂNEA</w:t>
      </w:r>
      <w:bookmarkEnd w:id="0"/>
      <w:bookmarkEnd w:id="1"/>
      <w:bookmarkEnd w:id="2"/>
      <w:bookmarkEnd w:id="3"/>
    </w:p>
    <w:p w:rsidR="00F94B8A" w:rsidRPr="00BF1F4D" w:rsidRDefault="00F94B8A" w:rsidP="00F94B8A">
      <w:pPr>
        <w:jc w:val="both"/>
        <w:rPr>
          <w:sz w:val="20"/>
          <w:szCs w:val="20"/>
        </w:rPr>
      </w:pPr>
      <w:bookmarkStart w:id="5" w:name="_Toc302228226"/>
      <w:bookmarkStart w:id="6" w:name="_Toc302228435"/>
      <w:bookmarkStart w:id="7" w:name="_Toc302228644"/>
      <w:bookmarkEnd w:id="4"/>
      <w:r w:rsidRPr="00BF1F4D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horas/aula</w:t>
      </w:r>
      <w:bookmarkEnd w:id="5"/>
      <w:bookmarkEnd w:id="6"/>
      <w:bookmarkEnd w:id="7"/>
      <w:r>
        <w:rPr>
          <w:sz w:val="20"/>
          <w:szCs w:val="20"/>
        </w:rPr>
        <w:t xml:space="preserve"> </w:t>
      </w:r>
    </w:p>
    <w:p w:rsidR="00F94B8A" w:rsidRPr="00BF1F4D" w:rsidRDefault="00F94B8A" w:rsidP="00F94B8A">
      <w:pPr>
        <w:jc w:val="both"/>
        <w:rPr>
          <w:sz w:val="20"/>
          <w:szCs w:val="20"/>
        </w:rPr>
      </w:pPr>
    </w:p>
    <w:p w:rsidR="00F94B8A" w:rsidRPr="00BF1F4D" w:rsidRDefault="00F94B8A" w:rsidP="00F94B8A">
      <w:pPr>
        <w:jc w:val="both"/>
        <w:rPr>
          <w:b/>
          <w:sz w:val="20"/>
          <w:szCs w:val="20"/>
        </w:rPr>
      </w:pPr>
      <w:bookmarkStart w:id="8" w:name="_Toc302228227"/>
      <w:bookmarkStart w:id="9" w:name="_Toc302228436"/>
      <w:bookmarkStart w:id="10" w:name="_Toc302228645"/>
      <w:r w:rsidRPr="00BF1F4D">
        <w:rPr>
          <w:b/>
          <w:sz w:val="20"/>
          <w:szCs w:val="20"/>
        </w:rPr>
        <w:t>Ementa:</w:t>
      </w:r>
      <w:bookmarkEnd w:id="8"/>
      <w:bookmarkEnd w:id="9"/>
      <w:bookmarkEnd w:id="10"/>
      <w:r>
        <w:rPr>
          <w:b/>
          <w:sz w:val="20"/>
          <w:szCs w:val="20"/>
        </w:rPr>
        <w:t xml:space="preserve"> </w:t>
      </w:r>
    </w:p>
    <w:p w:rsidR="00F94B8A" w:rsidRPr="00BF1F4D" w:rsidRDefault="00F94B8A" w:rsidP="00F94B8A">
      <w:pPr>
        <w:jc w:val="both"/>
        <w:rPr>
          <w:sz w:val="20"/>
          <w:szCs w:val="20"/>
        </w:rPr>
      </w:pP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trata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grandes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debates,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fins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século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XX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início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XXI,</w:t>
      </w:r>
      <w:r>
        <w:rPr>
          <w:sz w:val="20"/>
          <w:szCs w:val="20"/>
        </w:rPr>
        <w:t xml:space="preserve"> que </w:t>
      </w:r>
      <w:r w:rsidRPr="00BF1F4D">
        <w:rPr>
          <w:sz w:val="20"/>
          <w:szCs w:val="20"/>
        </w:rPr>
        <w:t>impactaram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político.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lado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ressurgimento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democrática,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tópico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central,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temos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questões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informação,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novas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redes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civil,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insurgências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movimentos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cenário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político,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mesmo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tópicos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clássicos.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Assim,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explora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temáticas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horizonte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temporal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vivemos,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base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bibliografias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recentes,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tanto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quanto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principais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correntes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político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qual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tributárias,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assim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socialismo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liberalismo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proofErr w:type="spellStart"/>
      <w:r w:rsidRPr="00BF1F4D">
        <w:rPr>
          <w:sz w:val="20"/>
          <w:szCs w:val="20"/>
        </w:rPr>
        <w:t>pólos</w:t>
      </w:r>
      <w:proofErr w:type="spellEnd"/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dialética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contemporânea.</w:t>
      </w:r>
    </w:p>
    <w:p w:rsidR="00F94B8A" w:rsidRPr="00BF1F4D" w:rsidRDefault="00F94B8A" w:rsidP="00F94B8A">
      <w:pPr>
        <w:jc w:val="both"/>
        <w:rPr>
          <w:sz w:val="20"/>
          <w:szCs w:val="20"/>
        </w:rPr>
      </w:pPr>
    </w:p>
    <w:p w:rsidR="00F94B8A" w:rsidRPr="00BF1F4D" w:rsidRDefault="00F94B8A" w:rsidP="00F94B8A">
      <w:pPr>
        <w:jc w:val="both"/>
        <w:rPr>
          <w:b/>
          <w:sz w:val="20"/>
          <w:szCs w:val="20"/>
        </w:rPr>
      </w:pPr>
      <w:bookmarkStart w:id="11" w:name="_Toc302228228"/>
      <w:bookmarkStart w:id="12" w:name="_Toc302228437"/>
      <w:bookmarkStart w:id="13" w:name="_Toc302228646"/>
      <w:r w:rsidRPr="00BF1F4D">
        <w:rPr>
          <w:b/>
          <w:sz w:val="20"/>
          <w:szCs w:val="20"/>
        </w:rPr>
        <w:t>Programa:</w:t>
      </w:r>
      <w:bookmarkEnd w:id="11"/>
      <w:bookmarkEnd w:id="12"/>
      <w:bookmarkEnd w:id="13"/>
    </w:p>
    <w:p w:rsidR="00F94B8A" w:rsidRPr="00BF1F4D" w:rsidRDefault="00F94B8A" w:rsidP="00F94B8A">
      <w:pPr>
        <w:jc w:val="both"/>
        <w:rPr>
          <w:sz w:val="20"/>
          <w:szCs w:val="20"/>
        </w:rPr>
      </w:pPr>
      <w:bookmarkStart w:id="14" w:name="_Toc302228229"/>
      <w:bookmarkStart w:id="15" w:name="_Toc302228438"/>
      <w:bookmarkStart w:id="16" w:name="_Toc302228647"/>
      <w:r w:rsidRPr="00BF1F4D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heranças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marxista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weberiana</w:t>
      </w:r>
      <w:bookmarkEnd w:id="14"/>
      <w:bookmarkEnd w:id="15"/>
      <w:bookmarkEnd w:id="16"/>
    </w:p>
    <w:p w:rsidR="00F94B8A" w:rsidRPr="00BF1F4D" w:rsidRDefault="00F94B8A" w:rsidP="00F94B8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BF1F4D">
          <w:rPr>
            <w:sz w:val="20"/>
            <w:szCs w:val="20"/>
          </w:rPr>
          <w:t>2.</w:t>
        </w:r>
        <w:r>
          <w:rPr>
            <w:sz w:val="20"/>
            <w:szCs w:val="20"/>
          </w:rPr>
          <w:t xml:space="preserve"> </w:t>
        </w:r>
        <w:r w:rsidRPr="00BF1F4D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proofErr w:type="spellStart"/>
      <w:r w:rsidRPr="00BF1F4D">
        <w:rPr>
          <w:sz w:val="20"/>
          <w:szCs w:val="20"/>
        </w:rPr>
        <w:t>social-democracia</w:t>
      </w:r>
      <w:proofErr w:type="spellEnd"/>
    </w:p>
    <w:p w:rsidR="00F94B8A" w:rsidRPr="00BF1F4D" w:rsidRDefault="00F94B8A" w:rsidP="00F94B8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BF1F4D">
          <w:rPr>
            <w:sz w:val="20"/>
            <w:szCs w:val="20"/>
          </w:rPr>
          <w:t>3.</w:t>
        </w:r>
        <w:r>
          <w:rPr>
            <w:sz w:val="20"/>
            <w:szCs w:val="20"/>
          </w:rPr>
          <w:t xml:space="preserve"> </w:t>
        </w:r>
        <w:r w:rsidRPr="00BF1F4D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derrocada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socialismo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dominância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liberalismo</w:t>
      </w:r>
    </w:p>
    <w:p w:rsidR="00F94B8A" w:rsidRPr="00BF1F4D" w:rsidRDefault="00F94B8A" w:rsidP="00F94B8A">
      <w:pPr>
        <w:jc w:val="both"/>
        <w:rPr>
          <w:sz w:val="20"/>
          <w:szCs w:val="20"/>
        </w:rPr>
      </w:pPr>
      <w:r w:rsidRPr="00BF1F4D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democracia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derivações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recentes:</w:t>
      </w:r>
      <w:r>
        <w:rPr>
          <w:sz w:val="20"/>
          <w:szCs w:val="20"/>
        </w:rPr>
        <w:t xml:space="preserve"> </w:t>
      </w:r>
      <w:proofErr w:type="spellStart"/>
      <w:r w:rsidRPr="00BF1F4D">
        <w:rPr>
          <w:sz w:val="20"/>
          <w:szCs w:val="20"/>
        </w:rPr>
        <w:t>comunitarismo</w:t>
      </w:r>
      <w:proofErr w:type="spellEnd"/>
      <w:r w:rsidRPr="00BF1F4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reconhecimento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multiculturalismo.</w:t>
      </w:r>
    </w:p>
    <w:p w:rsidR="00F94B8A" w:rsidRPr="00BF1F4D" w:rsidRDefault="00F94B8A" w:rsidP="00F94B8A">
      <w:pPr>
        <w:jc w:val="both"/>
        <w:rPr>
          <w:sz w:val="20"/>
          <w:szCs w:val="20"/>
        </w:rPr>
      </w:pPr>
      <w:r w:rsidRPr="00BF1F4D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Novos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movimentos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insurgências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democracia</w:t>
      </w:r>
    </w:p>
    <w:p w:rsidR="00F94B8A" w:rsidRPr="00BF1F4D" w:rsidRDefault="00F94B8A" w:rsidP="00F94B8A">
      <w:pPr>
        <w:jc w:val="both"/>
        <w:rPr>
          <w:sz w:val="20"/>
          <w:szCs w:val="20"/>
        </w:rPr>
      </w:pPr>
      <w:r w:rsidRPr="00BF1F4D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Novas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configurações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sistema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político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contexto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atual</w:t>
      </w:r>
    </w:p>
    <w:p w:rsidR="00F94B8A" w:rsidRPr="00BF1F4D" w:rsidRDefault="00F94B8A" w:rsidP="00F94B8A">
      <w:pPr>
        <w:jc w:val="both"/>
        <w:rPr>
          <w:sz w:val="20"/>
          <w:szCs w:val="20"/>
        </w:rPr>
      </w:pPr>
      <w:r w:rsidRPr="00BF1F4D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informação,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internet,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redes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problema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organização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política</w:t>
      </w:r>
    </w:p>
    <w:p w:rsidR="00F94B8A" w:rsidRPr="00BF1F4D" w:rsidRDefault="00F94B8A" w:rsidP="00F94B8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BF1F4D">
          <w:rPr>
            <w:sz w:val="20"/>
            <w:szCs w:val="20"/>
          </w:rPr>
          <w:t>8.</w:t>
        </w:r>
        <w:r>
          <w:rPr>
            <w:sz w:val="20"/>
            <w:szCs w:val="20"/>
          </w:rPr>
          <w:t xml:space="preserve"> </w:t>
        </w:r>
        <w:r w:rsidRPr="00BF1F4D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representação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novas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possibilidades.</w:t>
      </w:r>
      <w:r>
        <w:rPr>
          <w:sz w:val="20"/>
          <w:szCs w:val="20"/>
        </w:rPr>
        <w:t xml:space="preserve"> </w:t>
      </w:r>
    </w:p>
    <w:p w:rsidR="00F94B8A" w:rsidRPr="00BF1F4D" w:rsidRDefault="00F94B8A" w:rsidP="00F94B8A">
      <w:pPr>
        <w:jc w:val="both"/>
        <w:rPr>
          <w:sz w:val="20"/>
          <w:szCs w:val="20"/>
        </w:rPr>
      </w:pPr>
    </w:p>
    <w:p w:rsidR="00F94B8A" w:rsidRPr="00BF1F4D" w:rsidRDefault="00F94B8A" w:rsidP="00F94B8A">
      <w:pPr>
        <w:jc w:val="both"/>
        <w:rPr>
          <w:b/>
          <w:sz w:val="20"/>
          <w:szCs w:val="20"/>
        </w:rPr>
      </w:pPr>
      <w:bookmarkStart w:id="17" w:name="_Toc302228230"/>
      <w:bookmarkStart w:id="18" w:name="_Toc302228439"/>
      <w:bookmarkStart w:id="19" w:name="_Toc302228648"/>
      <w:r w:rsidRPr="00BF1F4D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HABERMAS,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Direito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RAWLS,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justiça.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2008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LENIN,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Revolução.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Centauro,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2011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Geral: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Boaventura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Sousa.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Democratizar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ARENDT,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Hannah.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Origens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Totalitarismo.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Companhia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Letras.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TROTSKY,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Revolução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permanente.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Sundermann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2011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GRAMSCI,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Cadernos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cárcere.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WEBER,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vocação.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</w:t>
      </w:r>
      <w:r>
        <w:rPr>
          <w:sz w:val="20"/>
          <w:szCs w:val="20"/>
        </w:rPr>
        <w:t xml:space="preserve"> 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WEBER,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Parlamento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Governo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Alemanha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Reordenada.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</w:t>
      </w:r>
      <w:r>
        <w:rPr>
          <w:sz w:val="20"/>
          <w:szCs w:val="20"/>
        </w:rPr>
        <w:t xml:space="preserve"> 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GRAMSCI,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Antonio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Cadernos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Cárcere,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GIDDENS,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Antony.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encontros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clásssico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contemporaneo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Fundação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UNESP,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1998.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Enigma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Mauad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TOURAINE,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Alain.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Pós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Brasiliense,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2010.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POULANTZAS,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1986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POULANTZAS,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Graal,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1977.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DAHL,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Poliarquia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Participação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oposição.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(1972).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BOBBIO,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Norberto.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Liberalismo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Brasiliense,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FUTURO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GRAMSCI,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Antonio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Concepção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dialética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historia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GRAMSCI,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Antonio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Cadernos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Cárcere.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2002a.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GRAMSCI,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Antonio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Cadernos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Cárcere.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5,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2002b.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GRAMSCI,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Antonio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Concepção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dialética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MARCUSE,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Herbert.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Tecnologia,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Fascismo.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EdUNESP</w:t>
      </w:r>
      <w:proofErr w:type="spellEnd"/>
      <w:r w:rsidRPr="001A46B6">
        <w:rPr>
          <w:sz w:val="20"/>
          <w:szCs w:val="20"/>
        </w:rPr>
        <w:t>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O’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DONNELL,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Guilermo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Contrapontos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Autoritarismo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Democratização.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Vértice,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1986.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MOORE,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Barrington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Origens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Ditadura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lastRenderedPageBreak/>
        <w:t>RAWLS,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John.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Liberalismo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paulo</w:t>
      </w:r>
      <w:proofErr w:type="spellEnd"/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2011.REIS,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Mercado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Utopia: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Politica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Sao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WRIGHT,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Olin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1981.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HABERMAS,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Direito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faticidade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validade.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PRZEWORSKI,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Relume-Dumará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PRZEWORSKI,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Mercado.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Relume-Dumará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1994.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CASTELLS,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Manoel.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2001-b.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EISENBERG,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CEPIK,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Internet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RAPPOPORT,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Anatol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Lutas,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Jogos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Debates.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F94B8A" w:rsidRPr="001A46B6" w:rsidRDefault="00F94B8A" w:rsidP="00F94B8A">
      <w:pPr>
        <w:jc w:val="both"/>
        <w:rPr>
          <w:sz w:val="20"/>
          <w:szCs w:val="20"/>
        </w:rPr>
      </w:pPr>
    </w:p>
    <w:p w:rsidR="00E356C1" w:rsidRPr="005D35B6" w:rsidRDefault="00E356C1" w:rsidP="00F94B8A">
      <w:pPr>
        <w:jc w:val="both"/>
        <w:rPr>
          <w:sz w:val="20"/>
          <w:szCs w:val="20"/>
        </w:rPr>
      </w:pPr>
    </w:p>
    <w:p w:rsidR="00E356C1" w:rsidRPr="001A46B6" w:rsidRDefault="00E356C1" w:rsidP="00E356C1">
      <w:pPr>
        <w:jc w:val="both"/>
        <w:rPr>
          <w:sz w:val="20"/>
          <w:szCs w:val="20"/>
        </w:rPr>
      </w:pPr>
    </w:p>
    <w:p w:rsidR="00A869A4" w:rsidRPr="00E356C1" w:rsidRDefault="00A869A4" w:rsidP="00E356C1"/>
    <w:sectPr w:rsidR="00A869A4" w:rsidRPr="00E356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01" w:rsidRDefault="00F47801" w:rsidP="00090BFC">
      <w:r>
        <w:separator/>
      </w:r>
    </w:p>
  </w:endnote>
  <w:endnote w:type="continuationSeparator" w:id="0">
    <w:p w:rsidR="00F47801" w:rsidRDefault="00F47801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01" w:rsidRDefault="00F47801" w:rsidP="00090BFC">
      <w:r>
        <w:separator/>
      </w:r>
    </w:p>
  </w:footnote>
  <w:footnote w:type="continuationSeparator" w:id="0">
    <w:p w:rsidR="00F47801" w:rsidRDefault="00F47801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974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1A1B89"/>
    <w:rsid w:val="00290D0C"/>
    <w:rsid w:val="002E061D"/>
    <w:rsid w:val="00375030"/>
    <w:rsid w:val="005C6019"/>
    <w:rsid w:val="006053CE"/>
    <w:rsid w:val="006307DD"/>
    <w:rsid w:val="00645938"/>
    <w:rsid w:val="0064662F"/>
    <w:rsid w:val="006D6BBA"/>
    <w:rsid w:val="00721184"/>
    <w:rsid w:val="00914739"/>
    <w:rsid w:val="009F2C48"/>
    <w:rsid w:val="00A869A4"/>
    <w:rsid w:val="00CB0271"/>
    <w:rsid w:val="00E356C1"/>
    <w:rsid w:val="00F47801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2015-09-15T00:06:00Z</dcterms:created>
  <dcterms:modified xsi:type="dcterms:W3CDTF">2015-09-15T00:06:00Z</dcterms:modified>
</cp:coreProperties>
</file>